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460615573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-100965</wp:posOffset>
                </wp:positionH>
                <wp:positionV relativeFrom="paragraph">
                  <wp:posOffset>170180</wp:posOffset>
                </wp:positionV>
                <wp:extent cx="6606540" cy="476250"/>
                <wp:effectExtent l="635" t="635" r="635" b="635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476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95pt;margin-top:13.4pt;width:520.15pt;height:37.4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XIV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сессия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19050" distB="19050" distL="19050" distR="19685" simplePos="0" locked="0" layoutInCell="1" allowOverlap="1" relativeHeight="2" wp14:anchorId="5F221CBF">
                <wp:simplePos x="0" y="0"/>
                <wp:positionH relativeFrom="column">
                  <wp:posOffset>-97155</wp:posOffset>
                </wp:positionH>
                <wp:positionV relativeFrom="paragraph">
                  <wp:posOffset>83185</wp:posOffset>
                </wp:positionV>
                <wp:extent cx="6629400" cy="635"/>
                <wp:effectExtent l="19050" t="19050" r="19685" b="19050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.55pt" to="514.3pt,6.55pt" ID="Прямая соединительная линия 2" stroked="t" o:allowincell="f" style="position:absolute" wp14:anchorId="5F221CBF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685" simplePos="0" locked="0" layoutInCell="1" allowOverlap="1" relativeHeight="7" wp14:anchorId="4D78A08C">
                <wp:simplePos x="0" y="0"/>
                <wp:positionH relativeFrom="column">
                  <wp:posOffset>-91440</wp:posOffset>
                </wp:positionH>
                <wp:positionV relativeFrom="paragraph">
                  <wp:posOffset>168910</wp:posOffset>
                </wp:positionV>
                <wp:extent cx="6629400" cy="0"/>
                <wp:effectExtent l="19050" t="19050" r="19685" b="19050"/>
                <wp:wrapNone/>
                <wp:docPr id="4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13.3pt" to="514.75pt,13.3pt" ID="Прямая соединительная линия 1" stroked="t" o:allowincell="f" style="position:absolute" wp14:anchorId="4D78A08C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19.11.2025 г. </w:t>
        <w:tab/>
        <w:t xml:space="preserve"> №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124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муниципальную собственность МО ГП «поселок Нижнеангарск»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В соответствии со статьей 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50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x-none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решил: </w:t>
      </w:r>
    </w:p>
    <w:p>
      <w:pPr>
        <w:pStyle w:val="Normal"/>
        <w:tabs>
          <w:tab w:val="clear" w:pos="708"/>
          <w:tab w:val="left" w:pos="585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муниципального образования городское поселение «поселок Нижнеангарск»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согласно приложению.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бнародованию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в средствах массовой информации.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  <w:tab/>
        <w:t xml:space="preserve">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тел. 47-089 Серкина И.А.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«Северо-Байкальский район»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от 19.11.2025 №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124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-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VII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</w:r>
    </w:p>
    <w:tbl>
      <w:tblPr>
        <w:tblW w:w="9975" w:type="dxa"/>
        <w:jc w:val="left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0"/>
        <w:gridCol w:w="3688"/>
        <w:gridCol w:w="5587"/>
      </w:tblGrid>
      <w:tr>
        <w:trPr>
          <w:trHeight w:val="625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Место расположения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IP-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камера</w:t>
            </w: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 xml:space="preserve"> Dahua DH-IPC-HFPW5541EP-ZE-S3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Республика Бурятия, Северо-Байкальский район, пгт. Нижнеангарск, ул. Победы (Батюшка Байкал)</w:t>
            </w:r>
          </w:p>
        </w:tc>
      </w:tr>
      <w:tr>
        <w:trPr>
          <w:trHeight w:val="850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IP-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камера</w:t>
            </w: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 xml:space="preserve"> Dahua DH-IPC-HFPW5541EP-ZE-S3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Республика Бурятия, Северо-Байкальский район, пгт. Нижнеангарск, ул. Победы (Памятник первому учителю)</w:t>
            </w:r>
          </w:p>
        </w:tc>
      </w:tr>
      <w:tr>
        <w:trPr>
          <w:trHeight w:val="914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IP-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камера</w:t>
            </w: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 xml:space="preserve"> Dahua DH-IPC-HFPW5541EP-ZE-S3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>Республика Бурятия, Северо-Байкальский район, пгт. Нижнеангарск, ул. Победы. На опоре линии электропередач улицы Победы (Скульптура Воинам СВО)</w:t>
            </w:r>
          </w:p>
        </w:tc>
      </w:tr>
      <w:tr>
        <w:trPr>
          <w:trHeight w:val="914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IP камера уличная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rFonts w:ascii="Times New Roman" w:hAnsi="Times New Roman" w:eastAsia="Arial"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>Республика Бурятия, Северо-Байкальский район, пгт. Нижнеангарск, ул. Ленина. На опоре линии электропередач улицы Ленина (детская площадка Сказка)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852" w:gutter="0" w:header="0" w:top="709" w:footer="0" w:bottom="284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14603b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14603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5"/>
    <w:uiPriority w:val="10"/>
    <w:qFormat/>
    <w:rsid w:val="0014603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LibreOffice/7.6.7.2$Windows_X86_64 LibreOffice_project/dd47e4b30cb7dab30588d6c79c651f218165e3c5</Application>
  <AppVersion>15.0000</AppVersion>
  <Pages>2</Pages>
  <Words>264</Words>
  <Characters>2152</Characters>
  <CharactersWithSpaces>2468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2023-11-22T08:25:00Z</dcterms:created>
  <dc:creator>Admin</dc:creator>
  <dc:description/>
  <dc:language>ru-RU</dc:language>
  <cp:lastModifiedBy/>
  <cp:lastPrinted>2025-10-13T13:16:00Z</cp:lastPrinted>
  <dcterms:modified xsi:type="dcterms:W3CDTF">2025-11-19T13:53:43Z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